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05" w:rsidRDefault="009E6205" w:rsidP="009E6205">
      <w:pPr>
        <w:spacing w:before="100" w:beforeAutospacing="1" w:after="100" w:afterAutospacing="1" w:line="240" w:lineRule="auto"/>
        <w:outlineLvl w:val="1"/>
        <w:rPr>
          <w:rFonts w:ascii="Helvetica" w:eastAsia="Times New Roman" w:hAnsi="Helvetica" w:cs="Helvetica"/>
          <w:b/>
          <w:bCs/>
          <w:sz w:val="36"/>
          <w:szCs w:val="36"/>
          <w:lang w:val="en"/>
        </w:rPr>
      </w:pPr>
      <w:r>
        <w:rPr>
          <w:rFonts w:ascii="Helvetica" w:eastAsia="Times New Roman" w:hAnsi="Helvetica" w:cs="Helvetica"/>
          <w:b/>
          <w:bCs/>
          <w:sz w:val="36"/>
          <w:szCs w:val="36"/>
          <w:lang w:val="en"/>
        </w:rPr>
        <w:t xml:space="preserve">Shatterproof </w:t>
      </w:r>
      <w:r w:rsidRPr="009E6205">
        <w:rPr>
          <w:rFonts w:ascii="Helvetica" w:eastAsia="Times New Roman" w:hAnsi="Helvetica" w:cs="Helvetica"/>
          <w:b/>
          <w:bCs/>
          <w:sz w:val="36"/>
          <w:szCs w:val="36"/>
          <w:lang w:val="en"/>
        </w:rPr>
        <w:t xml:space="preserve">National </w:t>
      </w:r>
      <w:r>
        <w:rPr>
          <w:rFonts w:ascii="Helvetica" w:eastAsia="Times New Roman" w:hAnsi="Helvetica" w:cs="Helvetica"/>
          <w:b/>
          <w:bCs/>
          <w:sz w:val="36"/>
          <w:szCs w:val="36"/>
          <w:lang w:val="en"/>
        </w:rPr>
        <w:t xml:space="preserve">SUD </w:t>
      </w:r>
      <w:r w:rsidRPr="009E6205">
        <w:rPr>
          <w:rFonts w:ascii="Helvetica" w:eastAsia="Times New Roman" w:hAnsi="Helvetica" w:cs="Helvetica"/>
          <w:b/>
          <w:bCs/>
          <w:sz w:val="36"/>
          <w:szCs w:val="36"/>
          <w:lang w:val="en"/>
        </w:rPr>
        <w:t xml:space="preserve">Principles of Care </w:t>
      </w:r>
    </w:p>
    <w:p w:rsidR="009E6205" w:rsidRDefault="009E6205" w:rsidP="009E6205">
      <w:pPr>
        <w:rPr>
          <w:lang w:val="en"/>
        </w:rPr>
      </w:pPr>
      <w:hyperlink r:id="rId5" w:history="1">
        <w:r w:rsidRPr="00745544">
          <w:rPr>
            <w:rStyle w:val="Hyperlink"/>
            <w:lang w:val="en"/>
          </w:rPr>
          <w:t>https://www.shatterproof.org/national-principles-care</w:t>
        </w:r>
      </w:hyperlink>
    </w:p>
    <w:p w:rsidR="009E6205" w:rsidRPr="009E6205" w:rsidRDefault="009E6205" w:rsidP="009E6205">
      <w:pPr>
        <w:rPr>
          <w:rFonts w:ascii="Arial" w:hAnsi="Arial" w:cs="Arial"/>
          <w:color w:val="2F5496" w:themeColor="accent1" w:themeShade="BF"/>
          <w:sz w:val="23"/>
          <w:szCs w:val="23"/>
        </w:rPr>
      </w:pPr>
      <w:r w:rsidRPr="009E6205">
        <w:rPr>
          <w:rFonts w:ascii="Arial" w:hAnsi="Arial" w:cs="Arial"/>
          <w:color w:val="2F5496" w:themeColor="accent1" w:themeShade="BF"/>
          <w:sz w:val="23"/>
          <w:szCs w:val="23"/>
          <w:highlight w:val="yellow"/>
        </w:rPr>
        <w:t>Sixteen health insurers, responsible for a combined 248 million consumers, recently announced that they are adopting eight National Principles of Care for Substance Use Disorder (SUD) Treatment, as developed by the non-profit, Shatterproof</w:t>
      </w:r>
    </w:p>
    <w:p w:rsidR="009E6205" w:rsidRPr="009E6205" w:rsidRDefault="009E6205" w:rsidP="009E6205">
      <w:pPr>
        <w:spacing w:before="156" w:after="156" w:line="240" w:lineRule="auto"/>
        <w:rPr>
          <w:rFonts w:ascii="Helvetica" w:eastAsia="Times New Roman" w:hAnsi="Helvetica" w:cs="Helvetica"/>
          <w:sz w:val="24"/>
          <w:szCs w:val="24"/>
          <w:lang w:val="en"/>
        </w:rPr>
      </w:pPr>
      <w:proofErr w:type="spellStart"/>
      <w:r w:rsidRPr="009E6205">
        <w:rPr>
          <w:rFonts w:ascii="Helvetica" w:eastAsia="Times New Roman" w:hAnsi="Helvetica" w:cs="Helvetica"/>
          <w:sz w:val="24"/>
          <w:szCs w:val="24"/>
          <w:lang w:val="en"/>
        </w:rPr>
        <w:t>Shatterproof’s</w:t>
      </w:r>
      <w:proofErr w:type="spellEnd"/>
      <w:r w:rsidRPr="009E6205">
        <w:rPr>
          <w:rFonts w:ascii="Helvetica" w:eastAsia="Times New Roman" w:hAnsi="Helvetica" w:cs="Helvetica"/>
          <w:sz w:val="24"/>
          <w:szCs w:val="24"/>
          <w:lang w:val="en"/>
        </w:rPr>
        <w:t xml:space="preserve"> Substance Use Disorder Treatment Task Force is dedicated to creating a universal standard of care for addiction.</w:t>
      </w:r>
      <w:r>
        <w:rPr>
          <w:rFonts w:ascii="Helvetica" w:eastAsia="Times New Roman" w:hAnsi="Helvetica" w:cs="Helvetica"/>
          <w:sz w:val="24"/>
          <w:szCs w:val="24"/>
          <w:lang w:val="en"/>
        </w:rPr>
        <w:t xml:space="preserve"> </w:t>
      </w:r>
      <w:r w:rsidRPr="009E6205">
        <w:rPr>
          <w:rFonts w:ascii="Helvetica" w:eastAsia="Times New Roman" w:hAnsi="Helvetica" w:cs="Helvetica"/>
          <w:sz w:val="24"/>
          <w:szCs w:val="24"/>
          <w:lang w:val="en"/>
        </w:rPr>
        <w:t>That standard starts with eight essential criteria. Backed by research, proven to improve outcomes for individuals with a substance use disorder.</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sz w:val="24"/>
          <w:szCs w:val="24"/>
          <w:lang w:val="en"/>
        </w:rPr>
        <w:t xml:space="preserve">The National Principles of Care for substance use disorder treatment (the Principles) outline high-level aspects of quality addiction treatment. The Principles are a foundation for </w:t>
      </w:r>
      <w:hyperlink r:id="rId6" w:history="1">
        <w:r w:rsidRPr="009E6205">
          <w:rPr>
            <w:rFonts w:ascii="Helvetica" w:eastAsia="Times New Roman" w:hAnsi="Helvetica" w:cs="Helvetica"/>
            <w:color w:val="279184"/>
            <w:sz w:val="24"/>
            <w:szCs w:val="24"/>
            <w:lang w:val="en"/>
          </w:rPr>
          <w:t>the Task Force’s initiatives</w:t>
        </w:r>
      </w:hyperlink>
      <w:r w:rsidRPr="009E6205">
        <w:rPr>
          <w:rFonts w:ascii="Helvetica" w:eastAsia="Times New Roman" w:hAnsi="Helvetica" w:cs="Helvetica"/>
          <w:sz w:val="24"/>
          <w:szCs w:val="24"/>
          <w:lang w:val="en"/>
        </w:rPr>
        <w:t>:</w:t>
      </w:r>
    </w:p>
    <w:p w:rsidR="009E6205" w:rsidRPr="009E6205" w:rsidRDefault="009E6205" w:rsidP="009E6205">
      <w:pPr>
        <w:numPr>
          <w:ilvl w:val="0"/>
          <w:numId w:val="3"/>
        </w:numPr>
        <w:spacing w:before="100" w:beforeAutospacing="1" w:after="100" w:afterAutospacing="1" w:line="240" w:lineRule="auto"/>
        <w:rPr>
          <w:rFonts w:ascii="Helvetica" w:eastAsia="Times New Roman" w:hAnsi="Helvetica" w:cs="Helvetica"/>
          <w:sz w:val="24"/>
          <w:szCs w:val="24"/>
          <w:lang w:val="en"/>
        </w:rPr>
      </w:pPr>
      <w:r w:rsidRPr="009E6205">
        <w:rPr>
          <w:rFonts w:ascii="Helvetica" w:eastAsia="Times New Roman" w:hAnsi="Helvetica" w:cs="Helvetica"/>
          <w:sz w:val="24"/>
          <w:szCs w:val="24"/>
          <w:lang w:val="en"/>
        </w:rPr>
        <w:t xml:space="preserve">to change payment by </w:t>
      </w:r>
      <w:r w:rsidRPr="009E6205">
        <w:rPr>
          <w:rFonts w:ascii="Helvetica" w:eastAsia="Times New Roman" w:hAnsi="Helvetica" w:cs="Helvetica"/>
          <w:b/>
          <w:bCs/>
          <w:sz w:val="24"/>
          <w:szCs w:val="24"/>
          <w:lang w:val="en"/>
        </w:rPr>
        <w:t>health insurance companies</w:t>
      </w:r>
      <w:r w:rsidRPr="009E6205">
        <w:rPr>
          <w:rFonts w:ascii="Helvetica" w:eastAsia="Times New Roman" w:hAnsi="Helvetica" w:cs="Helvetica"/>
          <w:sz w:val="24"/>
          <w:szCs w:val="24"/>
          <w:lang w:val="en"/>
        </w:rPr>
        <w:t xml:space="preserve"> to incentivize quality care</w:t>
      </w:r>
    </w:p>
    <w:p w:rsidR="009E6205" w:rsidRPr="009E6205" w:rsidRDefault="009E6205" w:rsidP="009E6205">
      <w:pPr>
        <w:numPr>
          <w:ilvl w:val="0"/>
          <w:numId w:val="3"/>
        </w:numPr>
        <w:spacing w:before="100" w:beforeAutospacing="1" w:after="100" w:afterAutospacing="1" w:line="240" w:lineRule="auto"/>
        <w:rPr>
          <w:rFonts w:ascii="Helvetica" w:eastAsia="Times New Roman" w:hAnsi="Helvetica" w:cs="Helvetica"/>
          <w:sz w:val="24"/>
          <w:szCs w:val="24"/>
          <w:lang w:val="en"/>
        </w:rPr>
      </w:pPr>
      <w:r w:rsidRPr="009E6205">
        <w:rPr>
          <w:rFonts w:ascii="Helvetica" w:eastAsia="Times New Roman" w:hAnsi="Helvetica" w:cs="Helvetica"/>
          <w:sz w:val="24"/>
          <w:szCs w:val="24"/>
          <w:lang w:val="en"/>
        </w:rPr>
        <w:t xml:space="preserve">to engage </w:t>
      </w:r>
      <w:r w:rsidRPr="009E6205">
        <w:rPr>
          <w:rFonts w:ascii="Helvetica" w:eastAsia="Times New Roman" w:hAnsi="Helvetica" w:cs="Helvetica"/>
          <w:b/>
          <w:bCs/>
          <w:sz w:val="24"/>
          <w:szCs w:val="24"/>
          <w:lang w:val="en"/>
        </w:rPr>
        <w:t>providers</w:t>
      </w:r>
      <w:r w:rsidRPr="009E6205">
        <w:rPr>
          <w:rFonts w:ascii="Helvetica" w:eastAsia="Times New Roman" w:hAnsi="Helvetica" w:cs="Helvetica"/>
          <w:sz w:val="24"/>
          <w:szCs w:val="24"/>
          <w:lang w:val="en"/>
        </w:rPr>
        <w:t xml:space="preserve"> and support them to provide quality care</w:t>
      </w:r>
    </w:p>
    <w:p w:rsidR="009E6205" w:rsidRPr="009E6205" w:rsidRDefault="009E6205" w:rsidP="009E6205">
      <w:pPr>
        <w:numPr>
          <w:ilvl w:val="0"/>
          <w:numId w:val="3"/>
        </w:numPr>
        <w:spacing w:before="100" w:beforeAutospacing="1" w:after="100" w:afterAutospacing="1" w:line="240" w:lineRule="auto"/>
        <w:rPr>
          <w:rFonts w:ascii="Helvetica" w:eastAsia="Times New Roman" w:hAnsi="Helvetica" w:cs="Helvetica"/>
          <w:sz w:val="24"/>
          <w:szCs w:val="24"/>
          <w:lang w:val="en"/>
        </w:rPr>
      </w:pPr>
      <w:r w:rsidRPr="009E6205">
        <w:rPr>
          <w:rFonts w:ascii="Helvetica" w:eastAsia="Times New Roman" w:hAnsi="Helvetica" w:cs="Helvetica"/>
          <w:sz w:val="24"/>
          <w:szCs w:val="24"/>
          <w:lang w:val="en"/>
        </w:rPr>
        <w:t>and to educate</w:t>
      </w:r>
      <w:r w:rsidRPr="009E6205">
        <w:rPr>
          <w:rFonts w:ascii="Helvetica" w:eastAsia="Times New Roman" w:hAnsi="Helvetica" w:cs="Helvetica"/>
          <w:b/>
          <w:bCs/>
          <w:sz w:val="24"/>
          <w:szCs w:val="24"/>
          <w:lang w:val="en"/>
        </w:rPr>
        <w:t xml:space="preserve"> consumers</w:t>
      </w:r>
      <w:r w:rsidRPr="009E6205">
        <w:rPr>
          <w:rFonts w:ascii="Helvetica" w:eastAsia="Times New Roman" w:hAnsi="Helvetica" w:cs="Helvetica"/>
          <w:sz w:val="24"/>
          <w:szCs w:val="24"/>
          <w:lang w:val="en"/>
        </w:rPr>
        <w:t xml:space="preserve"> to identify and demand high-quality care.</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sz w:val="24"/>
          <w:szCs w:val="24"/>
          <w:lang w:val="en"/>
        </w:rPr>
        <w:t>Treatment should always be individualized, feedback-informed, and encompassing of all eight of these Principles.</w:t>
      </w:r>
    </w:p>
    <w:p w:rsidR="009E6205" w:rsidRPr="009E6205" w:rsidRDefault="009E6205" w:rsidP="009E6205">
      <w:pPr>
        <w:spacing w:before="156" w:after="156" w:line="240" w:lineRule="auto"/>
        <w:jc w:val="center"/>
        <w:rPr>
          <w:rFonts w:ascii="Helvetica" w:eastAsia="Times New Roman" w:hAnsi="Helvetica" w:cs="Helvetica"/>
          <w:sz w:val="24"/>
          <w:szCs w:val="24"/>
          <w:lang w:val="en"/>
        </w:rPr>
      </w:pPr>
    </w:p>
    <w:p w:rsidR="009E6205" w:rsidRPr="009E6205" w:rsidRDefault="009E6205" w:rsidP="009E6205">
      <w:pPr>
        <w:pStyle w:val="Heading1"/>
        <w:rPr>
          <w:rFonts w:eastAsia="Times New Roman"/>
          <w:lang w:val="en"/>
        </w:rPr>
      </w:pPr>
      <w:r w:rsidRPr="009E6205">
        <w:rPr>
          <w:rFonts w:eastAsia="Times New Roman"/>
          <w:lang w:val="en"/>
        </w:rPr>
        <w:t>#1: Routine screenings in every medical setting</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sz w:val="24"/>
          <w:szCs w:val="24"/>
          <w:lang w:val="en"/>
        </w:rPr>
        <w:t>During check-ups and in the ER, from pediatric to geriatric care—screenings for an SUD should be as common as measuring blood pressure.</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#1: Universal screening for substance use disorders across medical care settings</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What that means:</w:t>
      </w:r>
      <w:r w:rsidRPr="009E6205">
        <w:rPr>
          <w:rFonts w:ascii="Helvetica" w:eastAsia="Times New Roman" w:hAnsi="Helvetica" w:cs="Helvetica"/>
          <w:sz w:val="24"/>
          <w:szCs w:val="24"/>
          <w:lang w:val="en"/>
        </w:rPr>
        <w:t xml:space="preserve"> Screening for substance use disorders (SUDs) should be routine in primary care and other medical and behavioral settings—such as emergency, obstetric, geriatric, pediatric, and others—especially among those with known risk and few protective factors. This should be followed by informed clinical guidance on reducing the frequency and amount of substance use, family education to support lifestyle changes, and regular monitoring. People with symptoms of a substance use disorder should receive a personalized clinical diagnosis and treatment plan from a clinician.</w:t>
      </w:r>
    </w:p>
    <w:p w:rsidR="009E6205" w:rsidRPr="009E6205" w:rsidRDefault="009E6205" w:rsidP="009E6205">
      <w:pPr>
        <w:spacing w:before="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Why it matters:</w:t>
      </w:r>
      <w:r w:rsidRPr="009E6205">
        <w:rPr>
          <w:rFonts w:ascii="Helvetica" w:eastAsia="Times New Roman" w:hAnsi="Helvetica" w:cs="Helvetica"/>
          <w:sz w:val="24"/>
          <w:szCs w:val="24"/>
          <w:lang w:val="en"/>
        </w:rPr>
        <w:t xml:space="preserve"> </w:t>
      </w:r>
      <w:proofErr w:type="gramStart"/>
      <w:r w:rsidRPr="009E6205">
        <w:rPr>
          <w:rFonts w:ascii="Helvetica" w:eastAsia="Times New Roman" w:hAnsi="Helvetica" w:cs="Helvetica"/>
          <w:sz w:val="24"/>
          <w:szCs w:val="24"/>
          <w:lang w:val="en"/>
        </w:rPr>
        <w:t>Similar to</w:t>
      </w:r>
      <w:proofErr w:type="gramEnd"/>
      <w:r w:rsidRPr="009E6205">
        <w:rPr>
          <w:rFonts w:ascii="Helvetica" w:eastAsia="Times New Roman" w:hAnsi="Helvetica" w:cs="Helvetica"/>
          <w:sz w:val="24"/>
          <w:szCs w:val="24"/>
          <w:lang w:val="en"/>
        </w:rPr>
        <w:t xml:space="preserve"> care for other chronic diseases, screening for SUDs should be integrated into routine primary care. Screening is effective in preventing, reducing, treating, and sustaining recovery from substance misuse and SUDs.</w:t>
      </w:r>
    </w:p>
    <w:p w:rsidR="009E6205" w:rsidRDefault="009E6205" w:rsidP="009E6205">
      <w:pPr>
        <w:spacing w:before="156" w:after="156" w:line="240" w:lineRule="auto"/>
        <w:jc w:val="center"/>
        <w:rPr>
          <w:rFonts w:ascii="Helvetica" w:eastAsia="Times New Roman" w:hAnsi="Helvetica" w:cs="Helvetica"/>
          <w:sz w:val="24"/>
          <w:szCs w:val="24"/>
          <w:lang w:val="en"/>
        </w:rPr>
      </w:pPr>
    </w:p>
    <w:p w:rsidR="009E6205" w:rsidRDefault="009E6205" w:rsidP="009E6205">
      <w:pPr>
        <w:spacing w:before="156" w:after="156" w:line="240" w:lineRule="auto"/>
        <w:jc w:val="center"/>
        <w:rPr>
          <w:rFonts w:ascii="Helvetica" w:eastAsia="Times New Roman" w:hAnsi="Helvetica" w:cs="Helvetica"/>
          <w:sz w:val="24"/>
          <w:szCs w:val="24"/>
          <w:lang w:val="en"/>
        </w:rPr>
      </w:pPr>
    </w:p>
    <w:p w:rsidR="009E6205" w:rsidRPr="009E6205" w:rsidRDefault="009E6205" w:rsidP="009E6205">
      <w:pPr>
        <w:spacing w:before="156" w:after="156" w:line="240" w:lineRule="auto"/>
        <w:jc w:val="center"/>
        <w:rPr>
          <w:rFonts w:ascii="Helvetica" w:eastAsia="Times New Roman" w:hAnsi="Helvetica" w:cs="Helvetica"/>
          <w:sz w:val="24"/>
          <w:szCs w:val="24"/>
          <w:lang w:val="en"/>
        </w:rPr>
      </w:pPr>
    </w:p>
    <w:p w:rsidR="009E6205" w:rsidRPr="009E6205" w:rsidRDefault="009E6205" w:rsidP="009E6205">
      <w:pPr>
        <w:pStyle w:val="Heading1"/>
        <w:rPr>
          <w:rFonts w:eastAsia="Times New Roman"/>
          <w:lang w:val="en"/>
        </w:rPr>
      </w:pPr>
      <w:r w:rsidRPr="009E6205">
        <w:rPr>
          <w:rFonts w:eastAsia="Times New Roman"/>
          <w:lang w:val="en"/>
        </w:rPr>
        <w:t>#2: A personal plan for every patient</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sz w:val="24"/>
          <w:szCs w:val="24"/>
          <w:lang w:val="en"/>
        </w:rPr>
        <w:t>One size doesn’t fit all. Treatment must consider unique social, mental, biological, and environmental needs—with frequent check-ins and adjustments.</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#2: Personalized diagnosis, assessment, and treatment planning</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What that means:</w:t>
      </w:r>
      <w:r w:rsidRPr="009E6205">
        <w:rPr>
          <w:rFonts w:ascii="Helvetica" w:eastAsia="Times New Roman" w:hAnsi="Helvetica" w:cs="Helvetica"/>
          <w:sz w:val="24"/>
          <w:szCs w:val="24"/>
          <w:lang w:val="en"/>
        </w:rPr>
        <w:t xml:space="preserve"> Personalized, comprehensive evaluation prior to treatment, including diagnoses of substance use, mental and general health problems; and full evaluation of the nature and severity of family, social, and environmental problems that could affect the course of care and potential for relapse.</w:t>
      </w:r>
    </w:p>
    <w:p w:rsidR="009E6205" w:rsidRPr="009E6205" w:rsidRDefault="009E6205" w:rsidP="009E6205">
      <w:pPr>
        <w:spacing w:before="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Why it matters:</w:t>
      </w:r>
      <w:r w:rsidRPr="009E6205">
        <w:rPr>
          <w:rFonts w:ascii="Helvetica" w:eastAsia="Times New Roman" w:hAnsi="Helvetica" w:cs="Helvetica"/>
          <w:sz w:val="24"/>
          <w:szCs w:val="24"/>
          <w:lang w:val="en"/>
        </w:rPr>
        <w:t xml:space="preserve"> No single “program” or course of care is likely to be effective for all. Personalized care is the standard in the rest of chronic illness care because it has been shown to increase initial patient engagement, continuing patient adherence and better outcomes.</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sz w:val="24"/>
          <w:szCs w:val="24"/>
          <w:lang w:val="en"/>
        </w:rPr>
        <w:t> </w:t>
      </w:r>
    </w:p>
    <w:p w:rsidR="009E6205" w:rsidRPr="009E6205" w:rsidRDefault="009E6205" w:rsidP="009E6205">
      <w:pPr>
        <w:pStyle w:val="Heading1"/>
        <w:rPr>
          <w:rFonts w:eastAsia="Times New Roman"/>
          <w:lang w:val="en"/>
        </w:rPr>
      </w:pPr>
      <w:r w:rsidRPr="009E6205">
        <w:rPr>
          <w:rFonts w:eastAsia="Times New Roman"/>
          <w:lang w:val="en"/>
        </w:rPr>
        <w:t>#3: Fast access to treatment</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sz w:val="24"/>
          <w:szCs w:val="24"/>
          <w:lang w:val="en"/>
        </w:rPr>
        <w:t xml:space="preserve">Addiction alters brain chemistry. </w:t>
      </w:r>
      <w:proofErr w:type="gramStart"/>
      <w:r w:rsidRPr="009E6205">
        <w:rPr>
          <w:rFonts w:ascii="Helvetica" w:eastAsia="Times New Roman" w:hAnsi="Helvetica" w:cs="Helvetica"/>
          <w:sz w:val="24"/>
          <w:szCs w:val="24"/>
          <w:lang w:val="en"/>
        </w:rPr>
        <w:t>So</w:t>
      </w:r>
      <w:proofErr w:type="gramEnd"/>
      <w:r w:rsidRPr="009E6205">
        <w:rPr>
          <w:rFonts w:ascii="Helvetica" w:eastAsia="Times New Roman" w:hAnsi="Helvetica" w:cs="Helvetica"/>
          <w:sz w:val="24"/>
          <w:szCs w:val="24"/>
          <w:lang w:val="en"/>
        </w:rPr>
        <w:t xml:space="preserve"> when an individual is able to seek treatment, that moment must be seized.</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#3: Rapid access to appropriate substance use disorder care</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What that means:</w:t>
      </w:r>
      <w:r w:rsidRPr="009E6205">
        <w:rPr>
          <w:rFonts w:ascii="Helvetica" w:eastAsia="Times New Roman" w:hAnsi="Helvetica" w:cs="Helvetica"/>
          <w:sz w:val="24"/>
          <w:szCs w:val="24"/>
          <w:lang w:val="en"/>
        </w:rPr>
        <w:t xml:space="preserve"> Ability to rapidly engage individuals in the type and intensity of services that promptly meets their needs.</w:t>
      </w:r>
    </w:p>
    <w:p w:rsidR="009E6205" w:rsidRPr="009E6205" w:rsidRDefault="009E6205" w:rsidP="009E6205">
      <w:pPr>
        <w:spacing w:before="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Why it matters:</w:t>
      </w:r>
      <w:r w:rsidRPr="009E6205">
        <w:rPr>
          <w:rFonts w:ascii="Helvetica" w:eastAsia="Times New Roman" w:hAnsi="Helvetica" w:cs="Helvetica"/>
          <w:sz w:val="24"/>
          <w:szCs w:val="24"/>
          <w:lang w:val="en"/>
        </w:rPr>
        <w:t xml:space="preserve"> Brain circuits associated with motivation, inhibition, and stress tolerance are often severely affected among individuals with an SUD. Thus, periods of motivational readiness rarely sustain and rapid access to appropriate care is critical.</w:t>
      </w:r>
    </w:p>
    <w:p w:rsidR="009E6205" w:rsidRPr="009E6205" w:rsidRDefault="009E6205" w:rsidP="009E6205">
      <w:pPr>
        <w:spacing w:before="156" w:after="156" w:line="240" w:lineRule="auto"/>
        <w:jc w:val="center"/>
        <w:rPr>
          <w:rFonts w:ascii="Helvetica" w:eastAsia="Times New Roman" w:hAnsi="Helvetica" w:cs="Helvetica"/>
          <w:sz w:val="24"/>
          <w:szCs w:val="24"/>
          <w:lang w:val="en"/>
        </w:rPr>
      </w:pPr>
    </w:p>
    <w:p w:rsidR="009E6205" w:rsidRPr="009E6205" w:rsidRDefault="009E6205" w:rsidP="009E6205">
      <w:pPr>
        <w:pStyle w:val="Heading1"/>
        <w:rPr>
          <w:rFonts w:eastAsia="Times New Roman"/>
          <w:lang w:val="en"/>
        </w:rPr>
      </w:pPr>
      <w:r w:rsidRPr="009E6205">
        <w:rPr>
          <w:rFonts w:eastAsia="Times New Roman"/>
          <w:lang w:val="en"/>
        </w:rPr>
        <w:t>#4: Disease management, rather than 28 days</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sz w:val="24"/>
          <w:szCs w:val="24"/>
          <w:lang w:val="en"/>
        </w:rPr>
        <w:t>While inpatient treatment may be appropriate for some based on disease severity, this isn’t the best option for all. And it’s not enough for sustained success. Long-term outpatient care is key to recovery.</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#4: Engagement in continuing long-term outpatient care with monitoring and adjustments to treatment</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What that means:</w:t>
      </w:r>
      <w:r w:rsidRPr="009E6205">
        <w:rPr>
          <w:rFonts w:ascii="Helvetica" w:eastAsia="Times New Roman" w:hAnsi="Helvetica" w:cs="Helvetica"/>
          <w:sz w:val="24"/>
          <w:szCs w:val="24"/>
          <w:lang w:val="en"/>
        </w:rPr>
        <w:t xml:space="preserve"> Virtually all people with an SUD will need a personalized program of continuing outpatient care in a program or office-based setting, which includes regular monitoring to adjust the intensity and content of that care based on the monitoring results.</w:t>
      </w:r>
    </w:p>
    <w:p w:rsidR="009E6205" w:rsidRPr="009E6205" w:rsidRDefault="009E6205" w:rsidP="009E6205">
      <w:pPr>
        <w:spacing w:before="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Why it matters:</w:t>
      </w:r>
      <w:r w:rsidRPr="009E6205">
        <w:rPr>
          <w:rFonts w:ascii="Helvetica" w:eastAsia="Times New Roman" w:hAnsi="Helvetica" w:cs="Helvetica"/>
          <w:sz w:val="24"/>
          <w:szCs w:val="24"/>
          <w:lang w:val="en"/>
        </w:rPr>
        <w:t xml:space="preserve"> While individuals may need a period of intensive detoxification or residential care to stabilize the craving and critical health problems associated with SUDs, this type of acute care is rarely adequate to initiate or sustain recovery. This is because drug-induced brain changes do not return to normal function for an extended period following drug cessation. Sustained engagement in long term treatment is best accomplished in the local outpatient setting. Moreover, because patient needs change as recovery initiates, regular monitoring of care is necessary to track the course of those changes and to adjust the nature and intensity of the care accordingly.</w:t>
      </w:r>
    </w:p>
    <w:p w:rsidR="009E6205" w:rsidRPr="009E6205" w:rsidRDefault="009E6205" w:rsidP="009E6205">
      <w:pPr>
        <w:spacing w:before="156" w:after="156" w:line="240" w:lineRule="auto"/>
        <w:jc w:val="center"/>
        <w:rPr>
          <w:rFonts w:ascii="Helvetica" w:eastAsia="Times New Roman" w:hAnsi="Helvetica" w:cs="Helvetica"/>
          <w:sz w:val="24"/>
          <w:szCs w:val="24"/>
          <w:lang w:val="en"/>
        </w:rPr>
      </w:pPr>
    </w:p>
    <w:p w:rsidR="009E6205" w:rsidRDefault="009E6205" w:rsidP="009E6205">
      <w:pPr>
        <w:spacing w:after="0" w:line="240" w:lineRule="auto"/>
        <w:outlineLvl w:val="3"/>
        <w:rPr>
          <w:rFonts w:ascii="MuseoSans500" w:eastAsia="Times New Roman" w:hAnsi="MuseoSans500" w:cs="Helvetica"/>
          <w:color w:val="8B8E99"/>
          <w:sz w:val="27"/>
          <w:szCs w:val="27"/>
          <w:lang w:val="en"/>
        </w:rPr>
      </w:pPr>
    </w:p>
    <w:p w:rsidR="009E6205" w:rsidRPr="009E6205" w:rsidRDefault="009E6205" w:rsidP="009E6205">
      <w:pPr>
        <w:pStyle w:val="Heading1"/>
        <w:rPr>
          <w:rFonts w:eastAsia="Times New Roman"/>
          <w:lang w:val="en"/>
        </w:rPr>
      </w:pPr>
      <w:r w:rsidRPr="009E6205">
        <w:rPr>
          <w:rFonts w:eastAsia="Times New Roman"/>
          <w:lang w:val="en"/>
        </w:rPr>
        <w:t>#5: Coordinated care for every illness</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sz w:val="24"/>
          <w:szCs w:val="24"/>
          <w:lang w:val="en"/>
        </w:rPr>
        <w:t>Many people with addiction also suffer from other mental or physical disorders. Treatment for all illnesses should be coordinated and integrated into the SUD treatment plan.</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#5: Concurrent, coordinated care for physical and mental illness</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What that means:</w:t>
      </w:r>
      <w:r w:rsidRPr="009E6205">
        <w:rPr>
          <w:rFonts w:ascii="Helvetica" w:eastAsia="Times New Roman" w:hAnsi="Helvetica" w:cs="Helvetica"/>
          <w:sz w:val="24"/>
          <w:szCs w:val="24"/>
          <w:lang w:val="en"/>
        </w:rPr>
        <w:t xml:space="preserve"> Access to concurrent medical and mental health services either within a fully integrated healthcare system, or carefully coordinated across different systems and providers.</w:t>
      </w:r>
    </w:p>
    <w:p w:rsidR="009E6205" w:rsidRPr="009E6205" w:rsidRDefault="009E6205" w:rsidP="009E6205">
      <w:pPr>
        <w:spacing w:before="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Why it matters:</w:t>
      </w:r>
      <w:r w:rsidRPr="009E6205">
        <w:rPr>
          <w:rFonts w:ascii="Helvetica" w:eastAsia="Times New Roman" w:hAnsi="Helvetica" w:cs="Helvetica"/>
          <w:sz w:val="24"/>
          <w:szCs w:val="24"/>
          <w:lang w:val="en"/>
        </w:rPr>
        <w:t xml:space="preserve"> </w:t>
      </w:r>
      <w:proofErr w:type="gramStart"/>
      <w:r w:rsidRPr="009E6205">
        <w:rPr>
          <w:rFonts w:ascii="Helvetica" w:eastAsia="Times New Roman" w:hAnsi="Helvetica" w:cs="Helvetica"/>
          <w:sz w:val="24"/>
          <w:szCs w:val="24"/>
          <w:lang w:val="en"/>
        </w:rPr>
        <w:t>The majority of</w:t>
      </w:r>
      <w:proofErr w:type="gramEnd"/>
      <w:r w:rsidRPr="009E6205">
        <w:rPr>
          <w:rFonts w:ascii="Helvetica" w:eastAsia="Times New Roman" w:hAnsi="Helvetica" w:cs="Helvetica"/>
          <w:sz w:val="24"/>
          <w:szCs w:val="24"/>
          <w:lang w:val="en"/>
        </w:rPr>
        <w:t xml:space="preserve"> people who enter treatment for a SUD also have a co-occurring mental and/or physical illness. Common physical health problems include chronic pain, sleep disorders, infectious illnesses (e.g. HIV, HCV, TB), diabetes, and hypertension. Common mental health problems include depression, anxiety, and PTSD. The most effective and efficient way to manage these problems is with concurrent, coordinated care, ideally within a fully integrated healthcare system.</w:t>
      </w:r>
    </w:p>
    <w:p w:rsidR="009E6205" w:rsidRPr="009E6205" w:rsidRDefault="009E6205" w:rsidP="009E6205">
      <w:pPr>
        <w:spacing w:before="156" w:after="156" w:line="240" w:lineRule="auto"/>
        <w:jc w:val="center"/>
        <w:rPr>
          <w:rFonts w:ascii="Helvetica" w:eastAsia="Times New Roman" w:hAnsi="Helvetica" w:cs="Helvetica"/>
          <w:sz w:val="24"/>
          <w:szCs w:val="24"/>
          <w:lang w:val="en"/>
        </w:rPr>
      </w:pPr>
    </w:p>
    <w:p w:rsidR="009E6205" w:rsidRPr="009E6205" w:rsidRDefault="009E6205" w:rsidP="009E6205">
      <w:pPr>
        <w:pStyle w:val="Heading1"/>
        <w:rPr>
          <w:rFonts w:eastAsia="Times New Roman"/>
          <w:lang w:val="en"/>
        </w:rPr>
      </w:pPr>
      <w:r w:rsidRPr="009E6205">
        <w:rPr>
          <w:rFonts w:eastAsia="Times New Roman"/>
          <w:lang w:val="en"/>
        </w:rPr>
        <w:t>#6: Behavioral health care from legitimate providers</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sz w:val="24"/>
          <w:szCs w:val="24"/>
          <w:lang w:val="en"/>
        </w:rPr>
        <w:t>Behavioral interventions help individuals manage their disease and sustain recovery—and should be offered by properly trained, accredited, and well-supervised providers.</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#6: Access to fully trained and accredited behavioral health professionals</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What that means:</w:t>
      </w:r>
      <w:r w:rsidRPr="009E6205">
        <w:rPr>
          <w:rFonts w:ascii="Helvetica" w:eastAsia="Times New Roman" w:hAnsi="Helvetica" w:cs="Helvetica"/>
          <w:sz w:val="24"/>
          <w:szCs w:val="24"/>
          <w:lang w:val="en"/>
        </w:rPr>
        <w:t xml:space="preserve"> Individual evidence-based behavioral therapies from providers who have been appropriately trained and supervised. Some of the behavioral therapies that have been shown to be effective in changing problematic behaviors and relationships include Cognitive Behavioral Therapy, Individual Supportive Psychotherapy, Families and Couples Therapy, and Motivational Enhancement Therapy.</w:t>
      </w:r>
    </w:p>
    <w:p w:rsidR="009E6205" w:rsidRPr="009E6205" w:rsidRDefault="009E6205" w:rsidP="009E6205">
      <w:pPr>
        <w:spacing w:before="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Why it matters:</w:t>
      </w:r>
      <w:r w:rsidRPr="009E6205">
        <w:rPr>
          <w:rFonts w:ascii="Helvetica" w:eastAsia="Times New Roman" w:hAnsi="Helvetica" w:cs="Helvetica"/>
          <w:sz w:val="24"/>
          <w:szCs w:val="24"/>
          <w:lang w:val="en"/>
        </w:rPr>
        <w:t xml:space="preserve"> Evidence-based behavioral health interventions have been reliably shown to improve patient recognition and acceptance of their SUD, increase patients’ sustained motivation for change and adherence to treatment, as well as enhance long-term recovery outcomes. However, the benefits and value of these therapies are best shown when providers have been fully trained and supervised in how to provide them.</w:t>
      </w:r>
    </w:p>
    <w:p w:rsidR="009E6205" w:rsidRPr="009E6205" w:rsidRDefault="009E6205" w:rsidP="009E6205">
      <w:pPr>
        <w:spacing w:before="156" w:after="156" w:line="240" w:lineRule="auto"/>
        <w:jc w:val="center"/>
        <w:rPr>
          <w:rFonts w:ascii="Helvetica" w:eastAsia="Times New Roman" w:hAnsi="Helvetica" w:cs="Helvetica"/>
          <w:sz w:val="24"/>
          <w:szCs w:val="24"/>
          <w:lang w:val="en"/>
        </w:rPr>
      </w:pPr>
    </w:p>
    <w:p w:rsidR="009E6205" w:rsidRPr="009E6205" w:rsidRDefault="009E6205" w:rsidP="009E6205">
      <w:pPr>
        <w:pStyle w:val="Heading1"/>
        <w:rPr>
          <w:rFonts w:eastAsia="Times New Roman"/>
          <w:lang w:val="en"/>
        </w:rPr>
      </w:pPr>
      <w:r w:rsidRPr="009E6205">
        <w:rPr>
          <w:rFonts w:eastAsia="Times New Roman"/>
          <w:lang w:val="en"/>
        </w:rPr>
        <w:t>#7: Medication-assisted treatment</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sz w:val="24"/>
          <w:szCs w:val="24"/>
          <w:lang w:val="en"/>
        </w:rPr>
        <w:t xml:space="preserve">Just like with any other chronic disease, </w:t>
      </w:r>
      <w:hyperlink r:id="rId7" w:tgtFrame="_blank" w:history="1">
        <w:r w:rsidRPr="009E6205">
          <w:rPr>
            <w:rFonts w:ascii="Helvetica" w:eastAsia="Times New Roman" w:hAnsi="Helvetica" w:cs="Helvetica"/>
            <w:color w:val="279184"/>
            <w:sz w:val="24"/>
            <w:szCs w:val="24"/>
            <w:lang w:val="en"/>
          </w:rPr>
          <w:t>medication</w:t>
        </w:r>
      </w:hyperlink>
      <w:r w:rsidRPr="009E6205">
        <w:rPr>
          <w:rFonts w:ascii="Helvetica" w:eastAsia="Times New Roman" w:hAnsi="Helvetica" w:cs="Helvetica"/>
          <w:sz w:val="24"/>
          <w:szCs w:val="24"/>
          <w:lang w:val="en"/>
        </w:rPr>
        <w:t xml:space="preserve"> is appropriate for treating some addictions. It should be destigmatized and easily accessible.</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#7: Access to FDA-approved medications</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What that means:</w:t>
      </w:r>
      <w:r w:rsidRPr="009E6205">
        <w:rPr>
          <w:rFonts w:ascii="Helvetica" w:eastAsia="Times New Roman" w:hAnsi="Helvetica" w:cs="Helvetica"/>
          <w:sz w:val="24"/>
          <w:szCs w:val="24"/>
          <w:lang w:val="en"/>
        </w:rPr>
        <w:t xml:space="preserve"> Access to FDA-approved medications and products based on the diagnosis and medical necessity. The appropriate medications or products will vary by patient-specific need.</w:t>
      </w:r>
    </w:p>
    <w:p w:rsidR="009E6205" w:rsidRPr="009E6205" w:rsidRDefault="009E6205" w:rsidP="009E6205">
      <w:pPr>
        <w:spacing w:before="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Why it matters:</w:t>
      </w:r>
      <w:r w:rsidRPr="009E6205">
        <w:rPr>
          <w:rFonts w:ascii="Helvetica" w:eastAsia="Times New Roman" w:hAnsi="Helvetica" w:cs="Helvetica"/>
          <w:sz w:val="24"/>
          <w:szCs w:val="24"/>
          <w:lang w:val="en"/>
        </w:rPr>
        <w:t xml:space="preserve"> Not all people with an SUD will require medications; and approved medications are not available for all substance use disorders. However, when appropriately prescribed and monitored, medications have been shown to save lives (prevent overdose) and sustain positive outcomes for individuals with an SUD. Medications are most effective as part of a broader program including behavioral health interventions and monitoring (for adherence and effectiveness) and other health and social services.</w:t>
      </w:r>
    </w:p>
    <w:p w:rsidR="009E6205" w:rsidRPr="009E6205" w:rsidRDefault="009E6205" w:rsidP="009E6205">
      <w:pPr>
        <w:spacing w:before="156" w:after="156" w:line="240" w:lineRule="auto"/>
        <w:jc w:val="center"/>
        <w:rPr>
          <w:rFonts w:ascii="Helvetica" w:eastAsia="Times New Roman" w:hAnsi="Helvetica" w:cs="Helvetica"/>
          <w:sz w:val="24"/>
          <w:szCs w:val="24"/>
          <w:lang w:val="en"/>
        </w:rPr>
      </w:pPr>
    </w:p>
    <w:p w:rsidR="009E6205" w:rsidRPr="009E6205" w:rsidRDefault="009E6205" w:rsidP="009E6205">
      <w:pPr>
        <w:pStyle w:val="Heading1"/>
        <w:rPr>
          <w:rFonts w:eastAsia="Times New Roman"/>
          <w:lang w:val="en"/>
        </w:rPr>
      </w:pPr>
      <w:r w:rsidRPr="009E6205">
        <w:rPr>
          <w:rFonts w:eastAsia="Times New Roman"/>
          <w:lang w:val="en"/>
        </w:rPr>
        <w:t>#8: Support for recovery outside the doctor’s office</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sz w:val="24"/>
          <w:szCs w:val="24"/>
          <w:lang w:val="en"/>
        </w:rPr>
        <w:t>Recovery requires emotional and practical support from family members, the community, and peer groups.</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#8: Access to non-medical recovery support services</w:t>
      </w:r>
    </w:p>
    <w:p w:rsidR="009E6205" w:rsidRPr="009E6205" w:rsidRDefault="009E6205" w:rsidP="009E6205">
      <w:pPr>
        <w:spacing w:before="156" w:after="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What that means:</w:t>
      </w:r>
      <w:r w:rsidRPr="009E6205">
        <w:rPr>
          <w:rFonts w:ascii="Helvetica" w:eastAsia="Times New Roman" w:hAnsi="Helvetica" w:cs="Helvetica"/>
          <w:sz w:val="24"/>
          <w:szCs w:val="24"/>
          <w:lang w:val="en"/>
        </w:rPr>
        <w:t xml:space="preserve"> Recovery support services include peer services (such as mutual aid groups) and community services (such as housing, education, employment, and family support) that can provide continuing emotional and practical support for recovery.</w:t>
      </w:r>
    </w:p>
    <w:p w:rsidR="009E6205" w:rsidRPr="009E6205" w:rsidRDefault="009E6205" w:rsidP="009E6205">
      <w:pPr>
        <w:spacing w:before="156" w:line="240" w:lineRule="auto"/>
        <w:rPr>
          <w:rFonts w:ascii="Helvetica" w:eastAsia="Times New Roman" w:hAnsi="Helvetica" w:cs="Helvetica"/>
          <w:sz w:val="24"/>
          <w:szCs w:val="24"/>
          <w:lang w:val="en"/>
        </w:rPr>
      </w:pPr>
      <w:r w:rsidRPr="009E6205">
        <w:rPr>
          <w:rFonts w:ascii="Helvetica" w:eastAsia="Times New Roman" w:hAnsi="Helvetica" w:cs="Helvetica"/>
          <w:b/>
          <w:bCs/>
          <w:sz w:val="24"/>
          <w:szCs w:val="24"/>
          <w:lang w:val="en"/>
        </w:rPr>
        <w:t>Why it matters:</w:t>
      </w:r>
      <w:r w:rsidRPr="009E6205">
        <w:rPr>
          <w:rFonts w:ascii="Helvetica" w:eastAsia="Times New Roman" w:hAnsi="Helvetica" w:cs="Helvetica"/>
          <w:sz w:val="24"/>
          <w:szCs w:val="24"/>
          <w:lang w:val="en"/>
        </w:rPr>
        <w:t xml:space="preserve"> As is true for treatment of other chronic medical illnesses, SUD treatment is enhanced when the individual’s relationships and living situation supports the healthcare objectives. Put differently, sustained recovery is difficult without addressing housing issues, employment problems, and damaged family or social relationships. While most of these services cannot be provided directly in healthcare settings, access, referral to, and engagement in these social and community services are an important part of discharge and recovery planning </w:t>
      </w:r>
      <w:proofErr w:type="gramStart"/>
      <w:r w:rsidRPr="009E6205">
        <w:rPr>
          <w:rFonts w:ascii="Helvetica" w:eastAsia="Times New Roman" w:hAnsi="Helvetica" w:cs="Helvetica"/>
          <w:sz w:val="24"/>
          <w:szCs w:val="24"/>
          <w:lang w:val="en"/>
        </w:rPr>
        <w:t>during the course of</w:t>
      </w:r>
      <w:proofErr w:type="gramEnd"/>
      <w:r w:rsidRPr="009E6205">
        <w:rPr>
          <w:rFonts w:ascii="Helvetica" w:eastAsia="Times New Roman" w:hAnsi="Helvetica" w:cs="Helvetica"/>
          <w:sz w:val="24"/>
          <w:szCs w:val="24"/>
          <w:lang w:val="en"/>
        </w:rPr>
        <w:t xml:space="preserve"> SUD treatment.</w:t>
      </w:r>
    </w:p>
    <w:p w:rsidR="00C93A3E" w:rsidRDefault="00C93A3E"/>
    <w:sectPr w:rsidR="00C93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useoSans500">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01E"/>
    <w:multiLevelType w:val="multilevel"/>
    <w:tmpl w:val="771E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94F67"/>
    <w:multiLevelType w:val="multilevel"/>
    <w:tmpl w:val="AE4E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AE3888"/>
    <w:multiLevelType w:val="multilevel"/>
    <w:tmpl w:val="0D24A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05"/>
    <w:rsid w:val="00474495"/>
    <w:rsid w:val="008E0381"/>
    <w:rsid w:val="009E6205"/>
    <w:rsid w:val="00C93A3E"/>
    <w:rsid w:val="00FC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EE70"/>
  <w15:chartTrackingRefBased/>
  <w15:docId w15:val="{A3E362B7-FDF2-4DC9-B764-1093D00D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2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E62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620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E6205"/>
    <w:rPr>
      <w:strike w:val="0"/>
      <w:dstrike w:val="0"/>
      <w:color w:val="279184"/>
      <w:u w:val="none"/>
      <w:effect w:val="none"/>
      <w:shd w:val="clear" w:color="auto" w:fill="auto"/>
    </w:rPr>
  </w:style>
  <w:style w:type="character" w:styleId="Strong">
    <w:name w:val="Strong"/>
    <w:basedOn w:val="DefaultParagraphFont"/>
    <w:uiPriority w:val="22"/>
    <w:qFormat/>
    <w:rsid w:val="009E6205"/>
    <w:rPr>
      <w:b/>
      <w:bCs/>
    </w:rPr>
  </w:style>
  <w:style w:type="character" w:styleId="UnresolvedMention">
    <w:name w:val="Unresolved Mention"/>
    <w:basedOn w:val="DefaultParagraphFont"/>
    <w:uiPriority w:val="99"/>
    <w:semiHidden/>
    <w:unhideWhenUsed/>
    <w:rsid w:val="009E6205"/>
    <w:rPr>
      <w:color w:val="808080"/>
      <w:shd w:val="clear" w:color="auto" w:fill="E6E6E6"/>
    </w:rPr>
  </w:style>
  <w:style w:type="character" w:customStyle="1" w:styleId="Heading1Char">
    <w:name w:val="Heading 1 Char"/>
    <w:basedOn w:val="DefaultParagraphFont"/>
    <w:link w:val="Heading1"/>
    <w:uiPriority w:val="9"/>
    <w:rsid w:val="009E62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726144">
      <w:bodyDiv w:val="1"/>
      <w:marLeft w:val="0"/>
      <w:marRight w:val="0"/>
      <w:marTop w:val="0"/>
      <w:marBottom w:val="0"/>
      <w:divBdr>
        <w:top w:val="none" w:sz="0" w:space="0" w:color="auto"/>
        <w:left w:val="none" w:sz="0" w:space="0" w:color="auto"/>
        <w:bottom w:val="none" w:sz="0" w:space="0" w:color="auto"/>
        <w:right w:val="none" w:sz="0" w:space="0" w:color="auto"/>
      </w:divBdr>
      <w:divsChild>
        <w:div w:id="349262296">
          <w:marLeft w:val="0"/>
          <w:marRight w:val="0"/>
          <w:marTop w:val="0"/>
          <w:marBottom w:val="0"/>
          <w:divBdr>
            <w:top w:val="none" w:sz="0" w:space="0" w:color="auto"/>
            <w:left w:val="none" w:sz="0" w:space="0" w:color="auto"/>
            <w:bottom w:val="none" w:sz="0" w:space="0" w:color="auto"/>
            <w:right w:val="none" w:sz="0" w:space="0" w:color="auto"/>
          </w:divBdr>
          <w:divsChild>
            <w:div w:id="906649005">
              <w:marLeft w:val="0"/>
              <w:marRight w:val="0"/>
              <w:marTop w:val="0"/>
              <w:marBottom w:val="0"/>
              <w:divBdr>
                <w:top w:val="none" w:sz="0" w:space="0" w:color="auto"/>
                <w:left w:val="none" w:sz="0" w:space="0" w:color="auto"/>
                <w:bottom w:val="none" w:sz="0" w:space="0" w:color="auto"/>
                <w:right w:val="none" w:sz="0" w:space="0" w:color="auto"/>
              </w:divBdr>
              <w:divsChild>
                <w:div w:id="786235427">
                  <w:marLeft w:val="0"/>
                  <w:marRight w:val="0"/>
                  <w:marTop w:val="0"/>
                  <w:marBottom w:val="0"/>
                  <w:divBdr>
                    <w:top w:val="none" w:sz="0" w:space="0" w:color="auto"/>
                    <w:left w:val="none" w:sz="0" w:space="0" w:color="auto"/>
                    <w:bottom w:val="none" w:sz="0" w:space="0" w:color="auto"/>
                    <w:right w:val="none" w:sz="0" w:space="0" w:color="auto"/>
                  </w:divBdr>
                  <w:divsChild>
                    <w:div w:id="106657057">
                      <w:marLeft w:val="0"/>
                      <w:marRight w:val="0"/>
                      <w:marTop w:val="0"/>
                      <w:marBottom w:val="0"/>
                      <w:divBdr>
                        <w:top w:val="none" w:sz="0" w:space="0" w:color="auto"/>
                        <w:left w:val="none" w:sz="0" w:space="0" w:color="auto"/>
                        <w:bottom w:val="none" w:sz="0" w:space="0" w:color="auto"/>
                        <w:right w:val="none" w:sz="0" w:space="0" w:color="auto"/>
                      </w:divBdr>
                      <w:divsChild>
                        <w:div w:id="6696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5311">
              <w:marLeft w:val="0"/>
              <w:marRight w:val="0"/>
              <w:marTop w:val="0"/>
              <w:marBottom w:val="0"/>
              <w:divBdr>
                <w:top w:val="none" w:sz="0" w:space="0" w:color="auto"/>
                <w:left w:val="none" w:sz="0" w:space="0" w:color="auto"/>
                <w:bottom w:val="none" w:sz="0" w:space="0" w:color="auto"/>
                <w:right w:val="none" w:sz="0" w:space="0" w:color="auto"/>
              </w:divBdr>
              <w:divsChild>
                <w:div w:id="677079365">
                  <w:marLeft w:val="0"/>
                  <w:marRight w:val="0"/>
                  <w:marTop w:val="0"/>
                  <w:marBottom w:val="0"/>
                  <w:divBdr>
                    <w:top w:val="none" w:sz="0" w:space="0" w:color="auto"/>
                    <w:left w:val="none" w:sz="0" w:space="0" w:color="auto"/>
                    <w:bottom w:val="none" w:sz="0" w:space="0" w:color="auto"/>
                    <w:right w:val="none" w:sz="0" w:space="0" w:color="auto"/>
                  </w:divBdr>
                  <w:divsChild>
                    <w:div w:id="1570388013">
                      <w:marLeft w:val="0"/>
                      <w:marRight w:val="0"/>
                      <w:marTop w:val="0"/>
                      <w:marBottom w:val="0"/>
                      <w:divBdr>
                        <w:top w:val="none" w:sz="0" w:space="0" w:color="auto"/>
                        <w:left w:val="none" w:sz="0" w:space="0" w:color="auto"/>
                        <w:bottom w:val="none" w:sz="0" w:space="0" w:color="auto"/>
                        <w:right w:val="none" w:sz="0" w:space="0" w:color="auto"/>
                      </w:divBdr>
                      <w:divsChild>
                        <w:div w:id="1765228486">
                          <w:marLeft w:val="0"/>
                          <w:marRight w:val="0"/>
                          <w:marTop w:val="0"/>
                          <w:marBottom w:val="0"/>
                          <w:divBdr>
                            <w:top w:val="none" w:sz="0" w:space="0" w:color="auto"/>
                            <w:left w:val="none" w:sz="0" w:space="0" w:color="auto"/>
                            <w:bottom w:val="none" w:sz="0" w:space="0" w:color="auto"/>
                            <w:right w:val="none" w:sz="0" w:space="0" w:color="auto"/>
                          </w:divBdr>
                          <w:divsChild>
                            <w:div w:id="1219588113">
                              <w:marLeft w:val="0"/>
                              <w:marRight w:val="0"/>
                              <w:marTop w:val="0"/>
                              <w:marBottom w:val="0"/>
                              <w:divBdr>
                                <w:top w:val="none" w:sz="0" w:space="0" w:color="auto"/>
                                <w:left w:val="none" w:sz="0" w:space="0" w:color="auto"/>
                                <w:bottom w:val="none" w:sz="0" w:space="0" w:color="auto"/>
                                <w:right w:val="none" w:sz="0" w:space="0" w:color="auto"/>
                              </w:divBdr>
                              <w:divsChild>
                                <w:div w:id="621880434">
                                  <w:marLeft w:val="0"/>
                                  <w:marRight w:val="0"/>
                                  <w:marTop w:val="0"/>
                                  <w:marBottom w:val="0"/>
                                  <w:divBdr>
                                    <w:top w:val="none" w:sz="0" w:space="0" w:color="auto"/>
                                    <w:left w:val="none" w:sz="0" w:space="0" w:color="auto"/>
                                    <w:bottom w:val="none" w:sz="0" w:space="0" w:color="auto"/>
                                    <w:right w:val="none" w:sz="0" w:space="0" w:color="auto"/>
                                  </w:divBdr>
                                  <w:divsChild>
                                    <w:div w:id="12135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08176">
                          <w:marLeft w:val="0"/>
                          <w:marRight w:val="0"/>
                          <w:marTop w:val="0"/>
                          <w:marBottom w:val="0"/>
                          <w:divBdr>
                            <w:top w:val="none" w:sz="0" w:space="0" w:color="auto"/>
                            <w:left w:val="none" w:sz="0" w:space="0" w:color="auto"/>
                            <w:bottom w:val="none" w:sz="0" w:space="0" w:color="auto"/>
                            <w:right w:val="none" w:sz="0" w:space="0" w:color="auto"/>
                          </w:divBdr>
                          <w:divsChild>
                            <w:div w:id="588084123">
                              <w:marLeft w:val="0"/>
                              <w:marRight w:val="0"/>
                              <w:marTop w:val="0"/>
                              <w:marBottom w:val="0"/>
                              <w:divBdr>
                                <w:top w:val="none" w:sz="0" w:space="0" w:color="auto"/>
                                <w:left w:val="none" w:sz="0" w:space="0" w:color="auto"/>
                                <w:bottom w:val="none" w:sz="0" w:space="0" w:color="auto"/>
                                <w:right w:val="none" w:sz="0" w:space="0" w:color="auto"/>
                              </w:divBdr>
                              <w:divsChild>
                                <w:div w:id="911307220">
                                  <w:marLeft w:val="0"/>
                                  <w:marRight w:val="0"/>
                                  <w:marTop w:val="0"/>
                                  <w:marBottom w:val="0"/>
                                  <w:divBdr>
                                    <w:top w:val="none" w:sz="0" w:space="0" w:color="auto"/>
                                    <w:left w:val="none" w:sz="0" w:space="0" w:color="auto"/>
                                    <w:bottom w:val="none" w:sz="0" w:space="0" w:color="auto"/>
                                    <w:right w:val="none" w:sz="0" w:space="0" w:color="auto"/>
                                  </w:divBdr>
                                </w:div>
                                <w:div w:id="1489634812">
                                  <w:marLeft w:val="0"/>
                                  <w:marRight w:val="0"/>
                                  <w:marTop w:val="0"/>
                                  <w:marBottom w:val="0"/>
                                  <w:divBdr>
                                    <w:top w:val="none" w:sz="0" w:space="0" w:color="auto"/>
                                    <w:left w:val="none" w:sz="0" w:space="0" w:color="auto"/>
                                    <w:bottom w:val="none" w:sz="0" w:space="0" w:color="auto"/>
                                    <w:right w:val="none" w:sz="0" w:space="0" w:color="auto"/>
                                  </w:divBdr>
                                  <w:divsChild>
                                    <w:div w:id="1317225673">
                                      <w:marLeft w:val="0"/>
                                      <w:marRight w:val="0"/>
                                      <w:marTop w:val="0"/>
                                      <w:marBottom w:val="0"/>
                                      <w:divBdr>
                                        <w:top w:val="none" w:sz="0" w:space="0" w:color="auto"/>
                                        <w:left w:val="none" w:sz="0" w:space="0" w:color="auto"/>
                                        <w:bottom w:val="none" w:sz="0" w:space="0" w:color="auto"/>
                                        <w:right w:val="none" w:sz="0" w:space="0" w:color="auto"/>
                                      </w:divBdr>
                                      <w:divsChild>
                                        <w:div w:id="981034463">
                                          <w:marLeft w:val="0"/>
                                          <w:marRight w:val="0"/>
                                          <w:marTop w:val="0"/>
                                          <w:marBottom w:val="240"/>
                                          <w:divBdr>
                                            <w:top w:val="none" w:sz="0" w:space="0" w:color="auto"/>
                                            <w:left w:val="none" w:sz="0" w:space="0" w:color="auto"/>
                                            <w:bottom w:val="none" w:sz="0" w:space="0" w:color="auto"/>
                                            <w:right w:val="none" w:sz="0" w:space="0" w:color="auto"/>
                                          </w:divBdr>
                                        </w:div>
                                      </w:divsChild>
                                    </w:div>
                                    <w:div w:id="1701592664">
                                      <w:marLeft w:val="0"/>
                                      <w:marRight w:val="0"/>
                                      <w:marTop w:val="0"/>
                                      <w:marBottom w:val="0"/>
                                      <w:divBdr>
                                        <w:top w:val="none" w:sz="0" w:space="0" w:color="auto"/>
                                        <w:left w:val="none" w:sz="0" w:space="0" w:color="auto"/>
                                        <w:bottom w:val="none" w:sz="0" w:space="0" w:color="auto"/>
                                        <w:right w:val="none" w:sz="0" w:space="0" w:color="auto"/>
                                      </w:divBdr>
                                      <w:divsChild>
                                        <w:div w:id="1738474018">
                                          <w:marLeft w:val="0"/>
                                          <w:marRight w:val="0"/>
                                          <w:marTop w:val="0"/>
                                          <w:marBottom w:val="240"/>
                                          <w:divBdr>
                                            <w:top w:val="none" w:sz="0" w:space="0" w:color="auto"/>
                                            <w:left w:val="none" w:sz="0" w:space="0" w:color="auto"/>
                                            <w:bottom w:val="none" w:sz="0" w:space="0" w:color="auto"/>
                                            <w:right w:val="none" w:sz="0" w:space="0" w:color="auto"/>
                                          </w:divBdr>
                                        </w:div>
                                      </w:divsChild>
                                    </w:div>
                                    <w:div w:id="1541698775">
                                      <w:marLeft w:val="0"/>
                                      <w:marRight w:val="0"/>
                                      <w:marTop w:val="0"/>
                                      <w:marBottom w:val="0"/>
                                      <w:divBdr>
                                        <w:top w:val="none" w:sz="0" w:space="0" w:color="auto"/>
                                        <w:left w:val="none" w:sz="0" w:space="0" w:color="auto"/>
                                        <w:bottom w:val="none" w:sz="0" w:space="0" w:color="auto"/>
                                        <w:right w:val="none" w:sz="0" w:space="0" w:color="auto"/>
                                      </w:divBdr>
                                      <w:divsChild>
                                        <w:div w:id="1313752171">
                                          <w:marLeft w:val="0"/>
                                          <w:marRight w:val="0"/>
                                          <w:marTop w:val="0"/>
                                          <w:marBottom w:val="240"/>
                                          <w:divBdr>
                                            <w:top w:val="none" w:sz="0" w:space="0" w:color="auto"/>
                                            <w:left w:val="none" w:sz="0" w:space="0" w:color="auto"/>
                                            <w:bottom w:val="none" w:sz="0" w:space="0" w:color="auto"/>
                                            <w:right w:val="none" w:sz="0" w:space="0" w:color="auto"/>
                                          </w:divBdr>
                                        </w:div>
                                      </w:divsChild>
                                    </w:div>
                                    <w:div w:id="540359443">
                                      <w:marLeft w:val="0"/>
                                      <w:marRight w:val="0"/>
                                      <w:marTop w:val="0"/>
                                      <w:marBottom w:val="0"/>
                                      <w:divBdr>
                                        <w:top w:val="none" w:sz="0" w:space="0" w:color="auto"/>
                                        <w:left w:val="none" w:sz="0" w:space="0" w:color="auto"/>
                                        <w:bottom w:val="none" w:sz="0" w:space="0" w:color="auto"/>
                                        <w:right w:val="none" w:sz="0" w:space="0" w:color="auto"/>
                                      </w:divBdr>
                                      <w:divsChild>
                                        <w:div w:id="375205585">
                                          <w:marLeft w:val="0"/>
                                          <w:marRight w:val="0"/>
                                          <w:marTop w:val="0"/>
                                          <w:marBottom w:val="240"/>
                                          <w:divBdr>
                                            <w:top w:val="none" w:sz="0" w:space="0" w:color="auto"/>
                                            <w:left w:val="none" w:sz="0" w:space="0" w:color="auto"/>
                                            <w:bottom w:val="none" w:sz="0" w:space="0" w:color="auto"/>
                                            <w:right w:val="none" w:sz="0" w:space="0" w:color="auto"/>
                                          </w:divBdr>
                                        </w:div>
                                      </w:divsChild>
                                    </w:div>
                                    <w:div w:id="1646468791">
                                      <w:marLeft w:val="0"/>
                                      <w:marRight w:val="0"/>
                                      <w:marTop w:val="0"/>
                                      <w:marBottom w:val="0"/>
                                      <w:divBdr>
                                        <w:top w:val="none" w:sz="0" w:space="0" w:color="auto"/>
                                        <w:left w:val="none" w:sz="0" w:space="0" w:color="auto"/>
                                        <w:bottom w:val="none" w:sz="0" w:space="0" w:color="auto"/>
                                        <w:right w:val="none" w:sz="0" w:space="0" w:color="auto"/>
                                      </w:divBdr>
                                      <w:divsChild>
                                        <w:div w:id="1534032613">
                                          <w:marLeft w:val="0"/>
                                          <w:marRight w:val="0"/>
                                          <w:marTop w:val="0"/>
                                          <w:marBottom w:val="240"/>
                                          <w:divBdr>
                                            <w:top w:val="none" w:sz="0" w:space="0" w:color="auto"/>
                                            <w:left w:val="none" w:sz="0" w:space="0" w:color="auto"/>
                                            <w:bottom w:val="none" w:sz="0" w:space="0" w:color="auto"/>
                                            <w:right w:val="none" w:sz="0" w:space="0" w:color="auto"/>
                                          </w:divBdr>
                                        </w:div>
                                      </w:divsChild>
                                    </w:div>
                                    <w:div w:id="1299723621">
                                      <w:marLeft w:val="0"/>
                                      <w:marRight w:val="0"/>
                                      <w:marTop w:val="0"/>
                                      <w:marBottom w:val="0"/>
                                      <w:divBdr>
                                        <w:top w:val="none" w:sz="0" w:space="0" w:color="auto"/>
                                        <w:left w:val="none" w:sz="0" w:space="0" w:color="auto"/>
                                        <w:bottom w:val="none" w:sz="0" w:space="0" w:color="auto"/>
                                        <w:right w:val="none" w:sz="0" w:space="0" w:color="auto"/>
                                      </w:divBdr>
                                      <w:divsChild>
                                        <w:div w:id="1924531983">
                                          <w:marLeft w:val="0"/>
                                          <w:marRight w:val="0"/>
                                          <w:marTop w:val="0"/>
                                          <w:marBottom w:val="240"/>
                                          <w:divBdr>
                                            <w:top w:val="none" w:sz="0" w:space="0" w:color="auto"/>
                                            <w:left w:val="none" w:sz="0" w:space="0" w:color="auto"/>
                                            <w:bottom w:val="none" w:sz="0" w:space="0" w:color="auto"/>
                                            <w:right w:val="none" w:sz="0" w:space="0" w:color="auto"/>
                                          </w:divBdr>
                                        </w:div>
                                      </w:divsChild>
                                    </w:div>
                                    <w:div w:id="1523933125">
                                      <w:marLeft w:val="0"/>
                                      <w:marRight w:val="0"/>
                                      <w:marTop w:val="0"/>
                                      <w:marBottom w:val="0"/>
                                      <w:divBdr>
                                        <w:top w:val="none" w:sz="0" w:space="0" w:color="auto"/>
                                        <w:left w:val="none" w:sz="0" w:space="0" w:color="auto"/>
                                        <w:bottom w:val="none" w:sz="0" w:space="0" w:color="auto"/>
                                        <w:right w:val="none" w:sz="0" w:space="0" w:color="auto"/>
                                      </w:divBdr>
                                      <w:divsChild>
                                        <w:div w:id="2118399936">
                                          <w:marLeft w:val="0"/>
                                          <w:marRight w:val="0"/>
                                          <w:marTop w:val="0"/>
                                          <w:marBottom w:val="240"/>
                                          <w:divBdr>
                                            <w:top w:val="none" w:sz="0" w:space="0" w:color="auto"/>
                                            <w:left w:val="none" w:sz="0" w:space="0" w:color="auto"/>
                                            <w:bottom w:val="none" w:sz="0" w:space="0" w:color="auto"/>
                                            <w:right w:val="none" w:sz="0" w:space="0" w:color="auto"/>
                                          </w:divBdr>
                                        </w:div>
                                      </w:divsChild>
                                    </w:div>
                                    <w:div w:id="809783357">
                                      <w:marLeft w:val="0"/>
                                      <w:marRight w:val="0"/>
                                      <w:marTop w:val="0"/>
                                      <w:marBottom w:val="0"/>
                                      <w:divBdr>
                                        <w:top w:val="none" w:sz="0" w:space="0" w:color="auto"/>
                                        <w:left w:val="none" w:sz="0" w:space="0" w:color="auto"/>
                                        <w:bottom w:val="none" w:sz="0" w:space="0" w:color="auto"/>
                                        <w:right w:val="none" w:sz="0" w:space="0" w:color="auto"/>
                                      </w:divBdr>
                                      <w:divsChild>
                                        <w:div w:id="5266042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atterproof.org/treatment/importance-of-medication-assisted-trea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atterproof.org/substance-use-disorder-treatment-task-force" TargetMode="External"/><Relationship Id="rId5" Type="http://schemas.openxmlformats.org/officeDocument/2006/relationships/hyperlink" Target="https://www.shatterproof.org/national-principles-ca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Gauthier</dc:creator>
  <cp:keywords/>
  <dc:description/>
  <cp:lastModifiedBy>Patrick Gauthier</cp:lastModifiedBy>
  <cp:revision>1</cp:revision>
  <dcterms:created xsi:type="dcterms:W3CDTF">2017-11-16T22:25:00Z</dcterms:created>
  <dcterms:modified xsi:type="dcterms:W3CDTF">2017-11-16T22:30:00Z</dcterms:modified>
</cp:coreProperties>
</file>